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784AF" w14:textId="7D95BFAB" w:rsidR="006A1987" w:rsidRDefault="00E42155" w:rsidP="007B1160">
      <w:pPr>
        <w:pStyle w:val="Heading1"/>
      </w:pPr>
      <w:r>
        <w:t>Transcript</w:t>
      </w:r>
      <w:r w:rsidR="00C214D6">
        <w:t xml:space="preserve">: </w:t>
      </w:r>
      <w:r w:rsidR="008B4DAA">
        <w:t>Summary of gross domestic product for the June 2018 quarter</w:t>
      </w:r>
    </w:p>
    <w:p w14:paraId="7D44B34B" w14:textId="77777777" w:rsidR="008B4DAA" w:rsidRDefault="007B1160" w:rsidP="008B4DAA">
      <w:pPr>
        <w:rPr>
          <w:rFonts w:eastAsia="Calibri" w:cs="Calibri"/>
          <w:sz w:val="24"/>
          <w:szCs w:val="24"/>
        </w:rPr>
      </w:pPr>
      <w:r>
        <w:t xml:space="preserve">Video, </w:t>
      </w:r>
      <w:r w:rsidR="008B4DAA">
        <w:rPr>
          <w:rFonts w:eastAsia="Calibri" w:cs="Calibri"/>
          <w:sz w:val="24"/>
          <w:szCs w:val="24"/>
        </w:rPr>
        <w:t>2:44 min</w:t>
      </w:r>
    </w:p>
    <w:p w14:paraId="0507647B" w14:textId="77777777" w:rsidR="008B4DAA" w:rsidRDefault="008B4DAA" w:rsidP="008B4DAA">
      <w:pPr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See video in </w:t>
      </w:r>
      <w:hyperlink r:id="rId11" w:history="1">
        <w:r w:rsidRPr="00F5286F">
          <w:rPr>
            <w:rStyle w:val="Hyperlink"/>
            <w:rFonts w:eastAsia="Calibri" w:cs="Calibri"/>
            <w:sz w:val="24"/>
            <w:szCs w:val="24"/>
          </w:rPr>
          <w:t>Broad-based growth as GDP rises 1 percent in June quarter</w:t>
        </w:r>
      </w:hyperlink>
      <w:r>
        <w:rPr>
          <w:rFonts w:eastAsia="Calibri" w:cs="Calibri"/>
          <w:sz w:val="24"/>
          <w:szCs w:val="24"/>
        </w:rPr>
        <w:t>, published 20 September 2018</w:t>
      </w:r>
    </w:p>
    <w:p w14:paraId="47333B99" w14:textId="77777777" w:rsidR="008B4DAA" w:rsidRDefault="008B4DAA" w:rsidP="008B4DAA">
      <w:pPr>
        <w:rPr>
          <w:rFonts w:eastAsia="Calibri" w:cs="Calibri"/>
          <w:sz w:val="24"/>
          <w:szCs w:val="24"/>
        </w:rPr>
      </w:pPr>
      <w:r w:rsidRPr="008B4DAA">
        <w:rPr>
          <w:rFonts w:eastAsia="Calibri" w:cs="Calibri"/>
          <w:b/>
          <w:sz w:val="24"/>
          <w:szCs w:val="24"/>
        </w:rPr>
        <w:t>Visual</w:t>
      </w:r>
      <w:r>
        <w:rPr>
          <w:rFonts w:eastAsia="Calibri" w:cs="Calibri"/>
          <w:sz w:val="24"/>
          <w:szCs w:val="24"/>
        </w:rPr>
        <w:t>: Daniel Griffiths, manager, quarterly GDP, speaking to the camera.</w:t>
      </w:r>
    </w:p>
    <w:p w14:paraId="138232D4" w14:textId="77777777" w:rsidR="008B4DAA" w:rsidRDefault="008B4DAA" w:rsidP="008B4DAA">
      <w:pPr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Audio (Daniel): </w:t>
      </w:r>
      <w:r w:rsidRPr="1E587197">
        <w:rPr>
          <w:rFonts w:eastAsia="Calibri" w:cs="Calibri"/>
          <w:sz w:val="24"/>
          <w:szCs w:val="24"/>
        </w:rPr>
        <w:t xml:space="preserve">The New Zealand economy </w:t>
      </w:r>
      <w:r>
        <w:rPr>
          <w:rFonts w:eastAsia="Calibri" w:cs="Calibri"/>
          <w:sz w:val="24"/>
          <w:szCs w:val="24"/>
        </w:rPr>
        <w:t xml:space="preserve">grew by </w:t>
      </w:r>
      <w:r w:rsidRPr="1E587197">
        <w:rPr>
          <w:rFonts w:eastAsia="Calibri" w:cs="Calibri"/>
          <w:sz w:val="24"/>
          <w:szCs w:val="24"/>
        </w:rPr>
        <w:t xml:space="preserve">1.0 percent in the June 2018 quarter. This </w:t>
      </w:r>
      <w:r>
        <w:rPr>
          <w:rFonts w:eastAsia="Calibri" w:cs="Calibri"/>
          <w:sz w:val="24"/>
          <w:szCs w:val="24"/>
        </w:rPr>
        <w:t xml:space="preserve">follows rises of </w:t>
      </w:r>
      <w:r w:rsidRPr="1E587197">
        <w:rPr>
          <w:rFonts w:eastAsia="Calibri" w:cs="Calibri"/>
          <w:sz w:val="24"/>
          <w:szCs w:val="24"/>
        </w:rPr>
        <w:t xml:space="preserve">0.5 percent and 0.6 percent </w:t>
      </w:r>
      <w:r>
        <w:rPr>
          <w:rFonts w:eastAsia="Calibri" w:cs="Calibri"/>
          <w:sz w:val="24"/>
          <w:szCs w:val="24"/>
        </w:rPr>
        <w:t xml:space="preserve">in the </w:t>
      </w:r>
      <w:r w:rsidRPr="1E587197">
        <w:rPr>
          <w:rFonts w:eastAsia="Calibri" w:cs="Calibri"/>
          <w:sz w:val="24"/>
          <w:szCs w:val="24"/>
        </w:rPr>
        <w:t>previous two quarters.</w:t>
      </w:r>
    </w:p>
    <w:p w14:paraId="529F28EB" w14:textId="5249B6A9" w:rsidR="008B4DAA" w:rsidRPr="002B4676" w:rsidRDefault="008B4DAA" w:rsidP="008B4DAA">
      <w:pPr>
        <w:rPr>
          <w:sz w:val="24"/>
          <w:szCs w:val="24"/>
        </w:rPr>
      </w:pPr>
      <w:r w:rsidRPr="008B4DAA">
        <w:rPr>
          <w:rFonts w:eastAsia="Calibri" w:cs="Calibri"/>
          <w:b/>
          <w:sz w:val="24"/>
          <w:szCs w:val="24"/>
        </w:rPr>
        <w:t>Visual</w:t>
      </w:r>
      <w:r>
        <w:rPr>
          <w:rFonts w:eastAsia="Calibri" w:cs="Calibri"/>
          <w:sz w:val="24"/>
          <w:szCs w:val="24"/>
        </w:rPr>
        <w:t>: Auckland skyline overlaid with text, ‘Annual GDP growth up 2.7 percent in the June 2018 quarter.’</w:t>
      </w:r>
      <w:r>
        <w:rPr>
          <w:rFonts w:eastAsia="Calibri" w:cs="Calibri"/>
          <w:sz w:val="24"/>
          <w:szCs w:val="24"/>
        </w:rPr>
        <w:br/>
      </w:r>
      <w:r w:rsidRPr="008B4DAA">
        <w:rPr>
          <w:rFonts w:eastAsia="Calibri" w:cs="Calibri"/>
          <w:b/>
          <w:sz w:val="24"/>
          <w:szCs w:val="24"/>
        </w:rPr>
        <w:t>Audio</w:t>
      </w:r>
      <w:r>
        <w:rPr>
          <w:rFonts w:eastAsia="Calibri" w:cs="Calibri"/>
          <w:sz w:val="24"/>
          <w:szCs w:val="24"/>
        </w:rPr>
        <w:t xml:space="preserve">: </w:t>
      </w:r>
      <w:r w:rsidRPr="1E587197">
        <w:rPr>
          <w:rFonts w:eastAsia="Calibri" w:cs="Calibri"/>
          <w:sz w:val="24"/>
          <w:szCs w:val="24"/>
        </w:rPr>
        <w:t xml:space="preserve">This holds </w:t>
      </w:r>
      <w:r>
        <w:rPr>
          <w:rFonts w:eastAsia="Calibri" w:cs="Calibri"/>
          <w:sz w:val="24"/>
          <w:szCs w:val="24"/>
        </w:rPr>
        <w:t xml:space="preserve">our annual </w:t>
      </w:r>
      <w:r w:rsidRPr="1E587197">
        <w:rPr>
          <w:rFonts w:eastAsia="Calibri" w:cs="Calibri"/>
          <w:sz w:val="24"/>
          <w:szCs w:val="24"/>
        </w:rPr>
        <w:t xml:space="preserve">rate </w:t>
      </w:r>
      <w:r>
        <w:rPr>
          <w:rFonts w:eastAsia="Calibri" w:cs="Calibri"/>
          <w:sz w:val="24"/>
          <w:szCs w:val="24"/>
        </w:rPr>
        <w:t xml:space="preserve">of </w:t>
      </w:r>
      <w:r w:rsidRPr="1E587197">
        <w:rPr>
          <w:rFonts w:eastAsia="Calibri" w:cs="Calibri"/>
          <w:sz w:val="24"/>
          <w:szCs w:val="24"/>
        </w:rPr>
        <w:t>growth at 2.7 percent</w:t>
      </w:r>
      <w:r>
        <w:rPr>
          <w:rFonts w:eastAsia="Calibri" w:cs="Calibri"/>
          <w:sz w:val="24"/>
          <w:szCs w:val="24"/>
        </w:rPr>
        <w:t xml:space="preserve">. </w:t>
      </w:r>
      <w:proofErr w:type="gramStart"/>
      <w:r>
        <w:rPr>
          <w:rFonts w:eastAsia="Calibri" w:cs="Calibri"/>
          <w:sz w:val="24"/>
          <w:szCs w:val="24"/>
        </w:rPr>
        <w:t>So</w:t>
      </w:r>
      <w:proofErr w:type="gramEnd"/>
      <w:r w:rsidRPr="1E587197">
        <w:rPr>
          <w:rFonts w:eastAsia="Calibri" w:cs="Calibri"/>
          <w:sz w:val="24"/>
          <w:szCs w:val="24"/>
        </w:rPr>
        <w:t xml:space="preserve"> while the quarterly </w:t>
      </w:r>
      <w:r>
        <w:rPr>
          <w:rFonts w:eastAsia="Calibri" w:cs="Calibri"/>
          <w:sz w:val="24"/>
          <w:szCs w:val="24"/>
        </w:rPr>
        <w:t xml:space="preserve">rate </w:t>
      </w:r>
      <w:r w:rsidRPr="1E587197">
        <w:rPr>
          <w:rFonts w:eastAsia="Calibri" w:cs="Calibri"/>
          <w:sz w:val="24"/>
          <w:szCs w:val="24"/>
        </w:rPr>
        <w:t xml:space="preserve">is the </w:t>
      </w:r>
      <w:r>
        <w:rPr>
          <w:rFonts w:eastAsia="Calibri" w:cs="Calibri"/>
          <w:sz w:val="24"/>
          <w:szCs w:val="24"/>
        </w:rPr>
        <w:t xml:space="preserve">highest we’ve seen </w:t>
      </w:r>
      <w:r w:rsidRPr="1E587197">
        <w:rPr>
          <w:rFonts w:eastAsia="Calibri" w:cs="Calibri"/>
          <w:sz w:val="24"/>
          <w:szCs w:val="24"/>
        </w:rPr>
        <w:t xml:space="preserve">in two years, our annual rate </w:t>
      </w:r>
      <w:r>
        <w:rPr>
          <w:rFonts w:eastAsia="Calibri" w:cs="Calibri"/>
          <w:sz w:val="24"/>
          <w:szCs w:val="24"/>
        </w:rPr>
        <w:t xml:space="preserve">remains at </w:t>
      </w:r>
      <w:r w:rsidRPr="1E587197">
        <w:rPr>
          <w:rFonts w:eastAsia="Calibri" w:cs="Calibri"/>
          <w:sz w:val="24"/>
          <w:szCs w:val="24"/>
        </w:rPr>
        <w:t xml:space="preserve">the lowest since mid-2014. </w:t>
      </w:r>
    </w:p>
    <w:p w14:paraId="3EF1A1FA" w14:textId="29F2E4F7" w:rsidR="008B4DAA" w:rsidRDefault="008B4DAA" w:rsidP="008B4DAA">
      <w:pPr>
        <w:rPr>
          <w:rFonts w:eastAsia="Calibri" w:cs="Calibri"/>
          <w:sz w:val="24"/>
          <w:szCs w:val="24"/>
        </w:rPr>
      </w:pPr>
      <w:r w:rsidRPr="008B4DAA">
        <w:rPr>
          <w:rFonts w:eastAsia="Calibri" w:cs="Calibri"/>
          <w:b/>
          <w:sz w:val="24"/>
          <w:szCs w:val="24"/>
        </w:rPr>
        <w:t>Visual (Daniel speaking to camera):</w:t>
      </w:r>
      <w:r>
        <w:rPr>
          <w:rFonts w:eastAsia="Calibri" w:cs="Calibri"/>
          <w:sz w:val="24"/>
          <w:szCs w:val="24"/>
        </w:rPr>
        <w:t xml:space="preserve"> </w:t>
      </w:r>
      <w:r>
        <w:rPr>
          <w:rFonts w:eastAsia="Calibri" w:cs="Calibri"/>
          <w:sz w:val="24"/>
          <w:szCs w:val="24"/>
        </w:rPr>
        <w:t xml:space="preserve">All industries that we measure in GDP rose this </w:t>
      </w:r>
      <w:r w:rsidRPr="002B4676">
        <w:rPr>
          <w:rFonts w:eastAsia="Calibri" w:cs="Calibri"/>
          <w:sz w:val="24"/>
          <w:szCs w:val="24"/>
        </w:rPr>
        <w:t xml:space="preserve">quarter, </w:t>
      </w:r>
      <w:proofErr w:type="gramStart"/>
      <w:r w:rsidRPr="002B4676">
        <w:rPr>
          <w:rFonts w:eastAsia="Calibri" w:cs="Calibri"/>
          <w:sz w:val="24"/>
          <w:szCs w:val="24"/>
        </w:rPr>
        <w:t>with the exception of</w:t>
      </w:r>
      <w:proofErr w:type="gramEnd"/>
      <w:r w:rsidRPr="002B4676">
        <w:rPr>
          <w:rFonts w:eastAsia="Calibri" w:cs="Calibri"/>
          <w:sz w:val="24"/>
          <w:szCs w:val="24"/>
        </w:rPr>
        <w:t xml:space="preserve"> mining. Service-related industries made the </w:t>
      </w:r>
      <w:r>
        <w:rPr>
          <w:rFonts w:eastAsia="Calibri" w:cs="Calibri"/>
          <w:sz w:val="24"/>
          <w:szCs w:val="24"/>
        </w:rPr>
        <w:t xml:space="preserve">largest </w:t>
      </w:r>
      <w:r w:rsidRPr="002B4676">
        <w:rPr>
          <w:rFonts w:eastAsia="Calibri" w:cs="Calibri"/>
          <w:sz w:val="24"/>
          <w:szCs w:val="24"/>
        </w:rPr>
        <w:t xml:space="preserve">contribution. </w:t>
      </w:r>
      <w:r>
        <w:rPr>
          <w:rFonts w:eastAsia="Calibri" w:cs="Calibri"/>
          <w:sz w:val="24"/>
          <w:szCs w:val="24"/>
        </w:rPr>
        <w:t xml:space="preserve">These are things like </w:t>
      </w:r>
      <w:r w:rsidRPr="002B4676">
        <w:rPr>
          <w:rFonts w:eastAsia="Calibri" w:cs="Calibri"/>
          <w:sz w:val="24"/>
          <w:szCs w:val="24"/>
        </w:rPr>
        <w:t xml:space="preserve">retail trade and accommodation, wholesale trade, </w:t>
      </w:r>
      <w:r>
        <w:rPr>
          <w:rFonts w:eastAsia="Calibri" w:cs="Calibri"/>
          <w:sz w:val="24"/>
          <w:szCs w:val="24"/>
        </w:rPr>
        <w:t xml:space="preserve">or </w:t>
      </w:r>
      <w:r w:rsidRPr="002B4676">
        <w:rPr>
          <w:rFonts w:eastAsia="Calibri" w:cs="Calibri"/>
          <w:sz w:val="24"/>
          <w:szCs w:val="24"/>
        </w:rPr>
        <w:t>transportation.</w:t>
      </w:r>
    </w:p>
    <w:p w14:paraId="56DFCF28" w14:textId="7E9E2CED" w:rsidR="008B4DAA" w:rsidRDefault="008B4DAA" w:rsidP="008B4DAA">
      <w:pPr>
        <w:rPr>
          <w:rFonts w:eastAsia="Calibri" w:cs="Calibri"/>
          <w:sz w:val="24"/>
          <w:szCs w:val="24"/>
        </w:rPr>
      </w:pPr>
      <w:r w:rsidRPr="008B4DAA">
        <w:rPr>
          <w:rFonts w:eastAsia="Calibri" w:cs="Calibri"/>
          <w:b/>
          <w:sz w:val="24"/>
          <w:szCs w:val="24"/>
        </w:rPr>
        <w:t>Visual</w:t>
      </w:r>
      <w:r>
        <w:rPr>
          <w:rFonts w:eastAsia="Calibri" w:cs="Calibri"/>
          <w:sz w:val="24"/>
          <w:szCs w:val="24"/>
        </w:rPr>
        <w:t>: Cows grazing in a farm, overlaid with text ‘Agriculture, forestry, and fishing up 4.1 percent in the June 2018 quarter.’</w:t>
      </w:r>
      <w:r>
        <w:rPr>
          <w:rFonts w:eastAsia="Calibri" w:cs="Calibri"/>
          <w:sz w:val="24"/>
          <w:szCs w:val="24"/>
        </w:rPr>
        <w:br/>
      </w:r>
      <w:r w:rsidRPr="008B4DAA">
        <w:rPr>
          <w:rFonts w:eastAsia="Calibri" w:cs="Calibri"/>
          <w:b/>
          <w:sz w:val="24"/>
          <w:szCs w:val="24"/>
        </w:rPr>
        <w:t>Audio</w:t>
      </w:r>
      <w:r>
        <w:rPr>
          <w:rFonts w:eastAsia="Calibri" w:cs="Calibri"/>
          <w:sz w:val="24"/>
          <w:szCs w:val="24"/>
        </w:rPr>
        <w:t xml:space="preserve">: </w:t>
      </w:r>
      <w:r>
        <w:rPr>
          <w:rFonts w:eastAsia="Calibri" w:cs="Calibri"/>
          <w:sz w:val="24"/>
          <w:szCs w:val="24"/>
        </w:rPr>
        <w:t>Individually, the largest industry to contribute was the a</w:t>
      </w:r>
      <w:r w:rsidRPr="002B4676">
        <w:rPr>
          <w:rFonts w:eastAsia="Calibri" w:cs="Calibri"/>
          <w:sz w:val="24"/>
          <w:szCs w:val="24"/>
        </w:rPr>
        <w:t xml:space="preserve">griculture, forestry and fishing </w:t>
      </w:r>
      <w:r>
        <w:rPr>
          <w:rFonts w:eastAsia="Calibri" w:cs="Calibri"/>
          <w:sz w:val="24"/>
          <w:szCs w:val="24"/>
        </w:rPr>
        <w:t xml:space="preserve">industry, which rose </w:t>
      </w:r>
      <w:r w:rsidRPr="002B4676">
        <w:rPr>
          <w:rFonts w:eastAsia="Calibri" w:cs="Calibri"/>
          <w:sz w:val="24"/>
          <w:szCs w:val="24"/>
        </w:rPr>
        <w:t>4.1 percent</w:t>
      </w:r>
      <w:r>
        <w:rPr>
          <w:rFonts w:eastAsia="Calibri" w:cs="Calibri"/>
          <w:sz w:val="24"/>
          <w:szCs w:val="24"/>
        </w:rPr>
        <w:t xml:space="preserve">. </w:t>
      </w:r>
    </w:p>
    <w:p w14:paraId="21FA1161" w14:textId="0979536A" w:rsidR="008B4DAA" w:rsidRDefault="008B4DAA" w:rsidP="008B4DAA">
      <w:pPr>
        <w:rPr>
          <w:sz w:val="24"/>
          <w:szCs w:val="24"/>
        </w:rPr>
      </w:pPr>
      <w:r w:rsidRPr="008B4DAA">
        <w:rPr>
          <w:rFonts w:eastAsia="Calibri" w:cs="Calibri"/>
          <w:b/>
          <w:sz w:val="24"/>
          <w:szCs w:val="24"/>
        </w:rPr>
        <w:t>Visual</w:t>
      </w:r>
      <w:r>
        <w:rPr>
          <w:rFonts w:eastAsia="Calibri" w:cs="Calibri"/>
          <w:sz w:val="24"/>
          <w:szCs w:val="24"/>
        </w:rPr>
        <w:t xml:space="preserve"> (Daniel): </w:t>
      </w:r>
      <w:r>
        <w:rPr>
          <w:rFonts w:eastAsia="Calibri" w:cs="Calibri"/>
          <w:sz w:val="24"/>
          <w:szCs w:val="24"/>
        </w:rPr>
        <w:t xml:space="preserve">We saw a particularly good finish </w:t>
      </w:r>
      <w:r>
        <w:rPr>
          <w:sz w:val="24"/>
          <w:szCs w:val="24"/>
        </w:rPr>
        <w:t xml:space="preserve">to </w:t>
      </w:r>
      <w:r w:rsidRPr="002B4676">
        <w:rPr>
          <w:sz w:val="24"/>
          <w:szCs w:val="24"/>
        </w:rPr>
        <w:t xml:space="preserve">the dairy season </w:t>
      </w:r>
      <w:r>
        <w:rPr>
          <w:sz w:val="24"/>
          <w:szCs w:val="24"/>
        </w:rPr>
        <w:t xml:space="preserve">after wet weather and a few storms disrupted activity and we saw lower activity in December and March quarters. </w:t>
      </w:r>
    </w:p>
    <w:p w14:paraId="7EFB080C" w14:textId="127B64AE" w:rsidR="008B4DAA" w:rsidRPr="002B4676" w:rsidRDefault="008B4DAA" w:rsidP="008B4DAA">
      <w:pPr>
        <w:rPr>
          <w:rFonts w:eastAsia="Calibri" w:cs="Calibri"/>
          <w:sz w:val="24"/>
          <w:szCs w:val="24"/>
        </w:rPr>
      </w:pPr>
      <w:r w:rsidRPr="008B4DAA">
        <w:rPr>
          <w:b/>
          <w:sz w:val="24"/>
          <w:szCs w:val="24"/>
        </w:rPr>
        <w:t>Visual</w:t>
      </w:r>
      <w:r>
        <w:rPr>
          <w:sz w:val="24"/>
          <w:szCs w:val="24"/>
        </w:rPr>
        <w:t>: Diagram, ‘The mining industry in GDP’ with a graph showing quarterly and annual changes in the industry from March 2012 to June 2018. Quarterly change in the June 2018 quarter was -19.9%, annual change was -5.8%. Largest rise was 52.3% in the September 2007 quarter, largest fall was -27.7% in the June 1989 quarter. Mining industry makes up 1.0% of GDP.</w:t>
      </w:r>
      <w:r>
        <w:rPr>
          <w:sz w:val="24"/>
          <w:szCs w:val="24"/>
        </w:rPr>
        <w:br/>
      </w:r>
      <w:r w:rsidRPr="008B4DAA">
        <w:rPr>
          <w:b/>
          <w:sz w:val="24"/>
          <w:szCs w:val="24"/>
        </w:rPr>
        <w:t>Audio</w:t>
      </w:r>
      <w:r>
        <w:rPr>
          <w:sz w:val="24"/>
          <w:szCs w:val="24"/>
        </w:rPr>
        <w:t xml:space="preserve"> (Daniel): </w:t>
      </w:r>
      <w:r w:rsidRPr="002B4676">
        <w:rPr>
          <w:rFonts w:eastAsia="Calibri" w:cs="Calibri"/>
          <w:sz w:val="24"/>
          <w:szCs w:val="24"/>
        </w:rPr>
        <w:t xml:space="preserve">Mining activity </w:t>
      </w:r>
      <w:r>
        <w:rPr>
          <w:rFonts w:eastAsia="Calibri" w:cs="Calibri"/>
          <w:sz w:val="24"/>
          <w:szCs w:val="24"/>
        </w:rPr>
        <w:t xml:space="preserve">fell by </w:t>
      </w:r>
      <w:r w:rsidRPr="002B4676">
        <w:rPr>
          <w:rFonts w:eastAsia="Calibri" w:cs="Calibri"/>
          <w:sz w:val="24"/>
          <w:szCs w:val="24"/>
        </w:rPr>
        <w:t xml:space="preserve">20 percent, </w:t>
      </w:r>
      <w:r>
        <w:rPr>
          <w:rFonts w:eastAsia="Calibri" w:cs="Calibri"/>
          <w:sz w:val="24"/>
          <w:szCs w:val="24"/>
        </w:rPr>
        <w:t xml:space="preserve">and this was </w:t>
      </w:r>
      <w:r w:rsidRPr="002B4676">
        <w:rPr>
          <w:rFonts w:eastAsia="Calibri" w:cs="Calibri"/>
          <w:sz w:val="24"/>
          <w:szCs w:val="24"/>
        </w:rPr>
        <w:t>its largest fall in nearly thirty years</w:t>
      </w:r>
      <w:r>
        <w:rPr>
          <w:rFonts w:eastAsia="Calibri" w:cs="Calibri"/>
          <w:sz w:val="24"/>
          <w:szCs w:val="24"/>
        </w:rPr>
        <w:t>. A</w:t>
      </w:r>
      <w:r w:rsidRPr="002B4676">
        <w:rPr>
          <w:rFonts w:eastAsia="Calibri" w:cs="Calibri"/>
          <w:sz w:val="24"/>
          <w:szCs w:val="24"/>
        </w:rPr>
        <w:t xml:space="preserve">n unplanned shutdown </w:t>
      </w:r>
      <w:r>
        <w:rPr>
          <w:rFonts w:eastAsia="Calibri" w:cs="Calibri"/>
          <w:sz w:val="24"/>
          <w:szCs w:val="24"/>
        </w:rPr>
        <w:t xml:space="preserve">at one of New Zealand’s largest gas fields </w:t>
      </w:r>
      <w:r w:rsidRPr="002B4676">
        <w:rPr>
          <w:rFonts w:eastAsia="Calibri" w:cs="Calibri"/>
          <w:sz w:val="24"/>
          <w:szCs w:val="24"/>
        </w:rPr>
        <w:t>affect</w:t>
      </w:r>
      <w:r>
        <w:rPr>
          <w:rFonts w:eastAsia="Calibri" w:cs="Calibri"/>
          <w:sz w:val="24"/>
          <w:szCs w:val="24"/>
        </w:rPr>
        <w:t xml:space="preserve">ed mining activity as well as also flowing into lower manufacturing activity for petroleum and chemical products. </w:t>
      </w:r>
    </w:p>
    <w:p w14:paraId="7F70B096" w14:textId="77777777" w:rsidR="008B4DAA" w:rsidRPr="002B4676" w:rsidRDefault="008B4DAA" w:rsidP="008B4DAA">
      <w:pPr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This industry was also affected by a planned shutdown at the </w:t>
      </w:r>
      <w:r w:rsidRPr="002B4676">
        <w:rPr>
          <w:rFonts w:eastAsia="Calibri" w:cs="Calibri"/>
          <w:sz w:val="24"/>
          <w:szCs w:val="24"/>
        </w:rPr>
        <w:t>Mar</w:t>
      </w:r>
      <w:r>
        <w:rPr>
          <w:rFonts w:eastAsia="Calibri" w:cs="Calibri"/>
          <w:sz w:val="24"/>
          <w:szCs w:val="24"/>
        </w:rPr>
        <w:t>sden Point refinery.</w:t>
      </w:r>
    </w:p>
    <w:p w14:paraId="213370FE" w14:textId="77777777" w:rsidR="008B4DAA" w:rsidRDefault="008B4DAA" w:rsidP="008B4DAA">
      <w:pPr>
        <w:rPr>
          <w:rFonts w:eastAsia="Calibri" w:cs="Calibri"/>
          <w:sz w:val="24"/>
          <w:szCs w:val="24"/>
        </w:rPr>
      </w:pPr>
      <w:r w:rsidRPr="002B4676">
        <w:rPr>
          <w:rFonts w:eastAsia="Calibri" w:cs="Calibri"/>
          <w:sz w:val="24"/>
          <w:szCs w:val="24"/>
        </w:rPr>
        <w:t xml:space="preserve">We also look at the economy in terms of the money spent on goods and services.  </w:t>
      </w:r>
    </w:p>
    <w:p w14:paraId="20E45B52" w14:textId="19629632" w:rsidR="008B4DAA" w:rsidRPr="002B4676" w:rsidRDefault="008B4DAA" w:rsidP="008B4DAA">
      <w:pPr>
        <w:rPr>
          <w:rFonts w:eastAsia="Calibri" w:cs="Calibri"/>
          <w:sz w:val="24"/>
          <w:szCs w:val="24"/>
        </w:rPr>
      </w:pPr>
      <w:r w:rsidRPr="008B4DAA">
        <w:rPr>
          <w:rFonts w:eastAsia="Calibri" w:cs="Calibri"/>
          <w:b/>
          <w:sz w:val="24"/>
          <w:szCs w:val="24"/>
        </w:rPr>
        <w:lastRenderedPageBreak/>
        <w:t>Visual</w:t>
      </w:r>
      <w:r>
        <w:rPr>
          <w:rFonts w:eastAsia="Calibri" w:cs="Calibri"/>
          <w:sz w:val="24"/>
          <w:szCs w:val="24"/>
        </w:rPr>
        <w:t>: Plate of food overlaid with text ‘Household spending up 1.0 percent in the June 2018 quarter’.</w:t>
      </w:r>
      <w:r>
        <w:rPr>
          <w:rFonts w:eastAsia="Calibri" w:cs="Calibri"/>
          <w:sz w:val="24"/>
          <w:szCs w:val="24"/>
        </w:rPr>
        <w:br/>
      </w:r>
      <w:r w:rsidRPr="008B4DAA">
        <w:rPr>
          <w:rFonts w:eastAsia="Calibri" w:cs="Calibri"/>
          <w:b/>
          <w:sz w:val="24"/>
          <w:szCs w:val="24"/>
        </w:rPr>
        <w:t>Audio</w:t>
      </w:r>
      <w:r>
        <w:rPr>
          <w:rFonts w:eastAsia="Calibri" w:cs="Calibri"/>
          <w:sz w:val="24"/>
          <w:szCs w:val="24"/>
        </w:rPr>
        <w:t xml:space="preserve">: </w:t>
      </w:r>
      <w:r w:rsidRPr="002B4676">
        <w:rPr>
          <w:rFonts w:eastAsia="Calibri" w:cs="Calibri"/>
          <w:sz w:val="24"/>
          <w:szCs w:val="24"/>
        </w:rPr>
        <w:t>Household spending rose</w:t>
      </w:r>
      <w:r>
        <w:rPr>
          <w:rFonts w:eastAsia="Calibri" w:cs="Calibri"/>
          <w:sz w:val="24"/>
          <w:szCs w:val="24"/>
        </w:rPr>
        <w:t xml:space="preserve"> by</w:t>
      </w:r>
      <w:r w:rsidRPr="002B4676">
        <w:rPr>
          <w:rFonts w:eastAsia="Calibri" w:cs="Calibri"/>
          <w:sz w:val="24"/>
          <w:szCs w:val="24"/>
        </w:rPr>
        <w:t xml:space="preserve"> 1.0 percent </w:t>
      </w:r>
      <w:r>
        <w:rPr>
          <w:rFonts w:eastAsia="Calibri" w:cs="Calibri"/>
          <w:sz w:val="24"/>
          <w:szCs w:val="24"/>
        </w:rPr>
        <w:t xml:space="preserve">this quarter, largely being reflected in the spending we saw in the service industries. </w:t>
      </w:r>
    </w:p>
    <w:p w14:paraId="73901BFF" w14:textId="77777777" w:rsidR="008B4DAA" w:rsidRDefault="008B4DAA" w:rsidP="008B4DAA">
      <w:pPr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Investment spending was down however, by </w:t>
      </w:r>
      <w:r w:rsidRPr="002B4676">
        <w:rPr>
          <w:rFonts w:eastAsia="Calibri" w:cs="Calibri"/>
          <w:sz w:val="24"/>
          <w:szCs w:val="24"/>
        </w:rPr>
        <w:t>0.1 percent</w:t>
      </w:r>
      <w:r>
        <w:rPr>
          <w:rFonts w:eastAsia="Calibri" w:cs="Calibri"/>
          <w:sz w:val="24"/>
          <w:szCs w:val="24"/>
        </w:rPr>
        <w:t xml:space="preserve">. If we look at </w:t>
      </w:r>
      <w:r w:rsidRPr="002B4676">
        <w:rPr>
          <w:rFonts w:eastAsia="Calibri" w:cs="Calibri"/>
          <w:sz w:val="24"/>
          <w:szCs w:val="24"/>
        </w:rPr>
        <w:t xml:space="preserve">business investment – </w:t>
      </w:r>
      <w:r>
        <w:rPr>
          <w:rFonts w:eastAsia="Calibri" w:cs="Calibri"/>
          <w:sz w:val="24"/>
          <w:szCs w:val="24"/>
        </w:rPr>
        <w:t xml:space="preserve">and that’s </w:t>
      </w:r>
      <w:r w:rsidRPr="002B4676">
        <w:rPr>
          <w:rFonts w:eastAsia="Calibri" w:cs="Calibri"/>
          <w:sz w:val="24"/>
          <w:szCs w:val="24"/>
        </w:rPr>
        <w:t xml:space="preserve">all investment less </w:t>
      </w:r>
      <w:r>
        <w:rPr>
          <w:rFonts w:eastAsia="Calibri" w:cs="Calibri"/>
          <w:sz w:val="24"/>
          <w:szCs w:val="24"/>
        </w:rPr>
        <w:t xml:space="preserve">the </w:t>
      </w:r>
      <w:r w:rsidRPr="002B4676">
        <w:rPr>
          <w:rFonts w:eastAsia="Calibri" w:cs="Calibri"/>
          <w:sz w:val="24"/>
          <w:szCs w:val="24"/>
        </w:rPr>
        <w:t xml:space="preserve">residential </w:t>
      </w:r>
      <w:r>
        <w:rPr>
          <w:rFonts w:eastAsia="Calibri" w:cs="Calibri"/>
          <w:sz w:val="24"/>
          <w:szCs w:val="24"/>
        </w:rPr>
        <w:t>investment –</w:t>
      </w:r>
      <w:r w:rsidRPr="002B4676">
        <w:rPr>
          <w:rFonts w:eastAsia="Calibri" w:cs="Calibri"/>
          <w:sz w:val="24"/>
          <w:szCs w:val="24"/>
        </w:rPr>
        <w:t xml:space="preserve"> </w:t>
      </w:r>
      <w:r>
        <w:rPr>
          <w:rFonts w:eastAsia="Calibri" w:cs="Calibri"/>
          <w:sz w:val="24"/>
          <w:szCs w:val="24"/>
        </w:rPr>
        <w:t xml:space="preserve">that fell by </w:t>
      </w:r>
      <w:r w:rsidRPr="002B4676">
        <w:rPr>
          <w:rFonts w:eastAsia="Calibri" w:cs="Calibri"/>
          <w:sz w:val="24"/>
          <w:szCs w:val="24"/>
        </w:rPr>
        <w:t xml:space="preserve">0.2 percent. </w:t>
      </w:r>
    </w:p>
    <w:p w14:paraId="5B7B3F4D" w14:textId="15199652" w:rsidR="008B4DAA" w:rsidRDefault="008B4DAA" w:rsidP="008B4DAA">
      <w:pPr>
        <w:rPr>
          <w:rFonts w:eastAsia="Calibri" w:cs="Calibri"/>
          <w:sz w:val="24"/>
          <w:szCs w:val="24"/>
        </w:rPr>
      </w:pPr>
      <w:r w:rsidRPr="008B4DAA">
        <w:rPr>
          <w:rFonts w:eastAsia="Calibri" w:cs="Calibri"/>
          <w:b/>
          <w:sz w:val="24"/>
          <w:szCs w:val="24"/>
        </w:rPr>
        <w:t>Visual</w:t>
      </w:r>
      <w:r>
        <w:rPr>
          <w:rFonts w:eastAsia="Calibri" w:cs="Calibri"/>
          <w:sz w:val="24"/>
          <w:szCs w:val="24"/>
        </w:rPr>
        <w:t>: Construction site, overlaid with text ‘Residential investment rebounds in the June 2018 quarter’.</w:t>
      </w:r>
      <w:r>
        <w:rPr>
          <w:rFonts w:eastAsia="Calibri" w:cs="Calibri"/>
          <w:sz w:val="24"/>
          <w:szCs w:val="24"/>
        </w:rPr>
        <w:br/>
      </w:r>
      <w:r w:rsidRPr="008B4DAA">
        <w:rPr>
          <w:rFonts w:eastAsia="Calibri" w:cs="Calibri"/>
          <w:b/>
          <w:sz w:val="24"/>
          <w:szCs w:val="24"/>
        </w:rPr>
        <w:t>Audio</w:t>
      </w:r>
      <w:r>
        <w:rPr>
          <w:rFonts w:eastAsia="Calibri" w:cs="Calibri"/>
          <w:sz w:val="24"/>
          <w:szCs w:val="24"/>
        </w:rPr>
        <w:t xml:space="preserve">: </w:t>
      </w:r>
      <w:r w:rsidRPr="002B4676">
        <w:rPr>
          <w:rFonts w:eastAsia="Calibri" w:cs="Calibri"/>
          <w:sz w:val="24"/>
          <w:szCs w:val="24"/>
        </w:rPr>
        <w:t xml:space="preserve">Residential </w:t>
      </w:r>
      <w:r>
        <w:rPr>
          <w:rFonts w:eastAsia="Calibri" w:cs="Calibri"/>
          <w:sz w:val="24"/>
          <w:szCs w:val="24"/>
        </w:rPr>
        <w:t xml:space="preserve">investment rebounded this quarter following a fall last </w:t>
      </w:r>
      <w:proofErr w:type="gramStart"/>
      <w:r>
        <w:rPr>
          <w:rFonts w:eastAsia="Calibri" w:cs="Calibri"/>
          <w:sz w:val="24"/>
          <w:szCs w:val="24"/>
        </w:rPr>
        <w:t>quarter</w:t>
      </w:r>
      <w:proofErr w:type="gramEnd"/>
      <w:r>
        <w:rPr>
          <w:rFonts w:eastAsia="Calibri" w:cs="Calibri"/>
          <w:sz w:val="24"/>
          <w:szCs w:val="24"/>
        </w:rPr>
        <w:t xml:space="preserve"> but we’ve also seen telecommunications infrastructure boosting other </w:t>
      </w:r>
      <w:r w:rsidRPr="002B4676">
        <w:rPr>
          <w:rFonts w:eastAsia="Calibri" w:cs="Calibri"/>
          <w:sz w:val="24"/>
          <w:szCs w:val="24"/>
        </w:rPr>
        <w:t>construction</w:t>
      </w:r>
      <w:r>
        <w:rPr>
          <w:rFonts w:eastAsia="Calibri" w:cs="Calibri"/>
          <w:sz w:val="24"/>
          <w:szCs w:val="24"/>
        </w:rPr>
        <w:t>.</w:t>
      </w:r>
      <w:r w:rsidRPr="002B4676">
        <w:rPr>
          <w:rFonts w:eastAsia="Calibri" w:cs="Calibri"/>
          <w:sz w:val="24"/>
          <w:szCs w:val="24"/>
        </w:rPr>
        <w:t xml:space="preserve"> </w:t>
      </w:r>
      <w:r>
        <w:rPr>
          <w:rFonts w:eastAsia="Calibri" w:cs="Calibri"/>
          <w:sz w:val="24"/>
          <w:szCs w:val="24"/>
        </w:rPr>
        <w:t xml:space="preserve">Spending on </w:t>
      </w:r>
      <w:r w:rsidRPr="002B4676">
        <w:rPr>
          <w:rFonts w:eastAsia="Calibri" w:cs="Calibri"/>
          <w:sz w:val="24"/>
          <w:szCs w:val="24"/>
        </w:rPr>
        <w:t>intangibles</w:t>
      </w:r>
      <w:r>
        <w:rPr>
          <w:rFonts w:eastAsia="Calibri" w:cs="Calibri"/>
          <w:sz w:val="24"/>
          <w:szCs w:val="24"/>
        </w:rPr>
        <w:t xml:space="preserve">, so the likes of software, rose this quarter. </w:t>
      </w:r>
    </w:p>
    <w:p w14:paraId="68513992" w14:textId="2CD38B7A" w:rsidR="008B4DAA" w:rsidRPr="002B4676" w:rsidRDefault="008B4DAA" w:rsidP="008B4DAA">
      <w:pPr>
        <w:rPr>
          <w:rFonts w:eastAsia="Calibri" w:cs="Calibri"/>
          <w:sz w:val="24"/>
          <w:szCs w:val="24"/>
        </w:rPr>
      </w:pPr>
      <w:r w:rsidRPr="008B4DAA">
        <w:rPr>
          <w:rFonts w:eastAsia="Calibri" w:cs="Calibri"/>
          <w:b/>
          <w:sz w:val="24"/>
          <w:szCs w:val="24"/>
        </w:rPr>
        <w:t>Visual</w:t>
      </w:r>
      <w:r>
        <w:rPr>
          <w:rFonts w:eastAsia="Calibri" w:cs="Calibri"/>
          <w:sz w:val="24"/>
          <w:szCs w:val="24"/>
        </w:rPr>
        <w:t>: Another construction site with equipment</w:t>
      </w:r>
      <w:r>
        <w:rPr>
          <w:rFonts w:eastAsia="Calibri" w:cs="Calibri"/>
          <w:sz w:val="24"/>
          <w:szCs w:val="24"/>
        </w:rPr>
        <w:t>.</w:t>
      </w:r>
      <w:r>
        <w:rPr>
          <w:rFonts w:eastAsia="Calibri" w:cs="Calibri"/>
          <w:sz w:val="24"/>
          <w:szCs w:val="24"/>
        </w:rPr>
        <w:br/>
      </w:r>
      <w:r w:rsidRPr="008B4DAA">
        <w:rPr>
          <w:rFonts w:eastAsia="Calibri" w:cs="Calibri"/>
          <w:b/>
          <w:sz w:val="24"/>
          <w:szCs w:val="24"/>
        </w:rPr>
        <w:t>Audio</w:t>
      </w:r>
      <w:r>
        <w:rPr>
          <w:rFonts w:eastAsia="Calibri" w:cs="Calibri"/>
          <w:sz w:val="24"/>
          <w:szCs w:val="24"/>
        </w:rPr>
        <w:t xml:space="preserve">: </w:t>
      </w:r>
      <w:r>
        <w:rPr>
          <w:rFonts w:eastAsia="Calibri" w:cs="Calibri"/>
          <w:sz w:val="24"/>
          <w:szCs w:val="24"/>
        </w:rPr>
        <w:t xml:space="preserve">Plant </w:t>
      </w:r>
      <w:r w:rsidRPr="002B4676">
        <w:rPr>
          <w:rFonts w:eastAsia="Calibri" w:cs="Calibri"/>
          <w:sz w:val="24"/>
          <w:szCs w:val="24"/>
        </w:rPr>
        <w:t xml:space="preserve">machinery and equipment </w:t>
      </w:r>
      <w:r>
        <w:rPr>
          <w:rFonts w:eastAsia="Calibri" w:cs="Calibri"/>
          <w:sz w:val="24"/>
          <w:szCs w:val="24"/>
        </w:rPr>
        <w:t xml:space="preserve">spending </w:t>
      </w:r>
      <w:r w:rsidRPr="002B4676">
        <w:rPr>
          <w:rFonts w:eastAsia="Calibri" w:cs="Calibri"/>
          <w:sz w:val="24"/>
          <w:szCs w:val="24"/>
        </w:rPr>
        <w:t xml:space="preserve">fell </w:t>
      </w:r>
      <w:r>
        <w:rPr>
          <w:rFonts w:eastAsia="Calibri" w:cs="Calibri"/>
          <w:sz w:val="24"/>
          <w:szCs w:val="24"/>
        </w:rPr>
        <w:t xml:space="preserve">by </w:t>
      </w:r>
      <w:r w:rsidRPr="002B4676">
        <w:rPr>
          <w:rFonts w:eastAsia="Calibri" w:cs="Calibri"/>
          <w:sz w:val="24"/>
          <w:szCs w:val="24"/>
        </w:rPr>
        <w:t xml:space="preserve">1.3 percent from </w:t>
      </w:r>
      <w:r>
        <w:rPr>
          <w:rFonts w:eastAsia="Calibri" w:cs="Calibri"/>
          <w:sz w:val="24"/>
          <w:szCs w:val="24"/>
        </w:rPr>
        <w:t>its</w:t>
      </w:r>
      <w:r w:rsidRPr="002B4676">
        <w:rPr>
          <w:rFonts w:eastAsia="Calibri" w:cs="Calibri"/>
          <w:sz w:val="24"/>
          <w:szCs w:val="24"/>
        </w:rPr>
        <w:t xml:space="preserve"> recent </w:t>
      </w:r>
      <w:proofErr w:type="gramStart"/>
      <w:r w:rsidRPr="002B4676">
        <w:rPr>
          <w:rFonts w:eastAsia="Calibri" w:cs="Calibri"/>
          <w:sz w:val="24"/>
          <w:szCs w:val="24"/>
        </w:rPr>
        <w:t>peak</w:t>
      </w:r>
      <w:r>
        <w:rPr>
          <w:rFonts w:eastAsia="Calibri" w:cs="Calibri"/>
          <w:sz w:val="24"/>
          <w:szCs w:val="24"/>
        </w:rPr>
        <w:t>,</w:t>
      </w:r>
      <w:r w:rsidRPr="002B4676">
        <w:rPr>
          <w:rFonts w:eastAsia="Calibri" w:cs="Calibri"/>
          <w:sz w:val="24"/>
          <w:szCs w:val="24"/>
        </w:rPr>
        <w:t xml:space="preserve"> </w:t>
      </w:r>
      <w:r>
        <w:rPr>
          <w:rFonts w:eastAsia="Calibri" w:cs="Calibri"/>
          <w:sz w:val="24"/>
          <w:szCs w:val="24"/>
        </w:rPr>
        <w:t>but</w:t>
      </w:r>
      <w:proofErr w:type="gramEnd"/>
      <w:r>
        <w:rPr>
          <w:rFonts w:eastAsia="Calibri" w:cs="Calibri"/>
          <w:sz w:val="24"/>
          <w:szCs w:val="24"/>
        </w:rPr>
        <w:t xml:space="preserve"> remains up </w:t>
      </w:r>
      <w:r w:rsidRPr="002B4676">
        <w:rPr>
          <w:rFonts w:eastAsia="Calibri" w:cs="Calibri"/>
          <w:sz w:val="24"/>
          <w:szCs w:val="24"/>
        </w:rPr>
        <w:t xml:space="preserve">12.6 percent </w:t>
      </w:r>
      <w:r>
        <w:rPr>
          <w:rFonts w:eastAsia="Calibri" w:cs="Calibri"/>
          <w:sz w:val="24"/>
          <w:szCs w:val="24"/>
        </w:rPr>
        <w:t xml:space="preserve">over </w:t>
      </w:r>
      <w:r w:rsidRPr="002B4676">
        <w:rPr>
          <w:rFonts w:eastAsia="Calibri" w:cs="Calibri"/>
          <w:sz w:val="24"/>
          <w:szCs w:val="24"/>
        </w:rPr>
        <w:t>the year.</w:t>
      </w:r>
    </w:p>
    <w:p w14:paraId="0F1A8C34" w14:textId="77777777" w:rsidR="008B4DAA" w:rsidRDefault="008B4DAA" w:rsidP="008B4DAA">
      <w:pPr>
        <w:rPr>
          <w:rFonts w:eastAsia="Calibri" w:cs="Calibri"/>
          <w:sz w:val="24"/>
          <w:szCs w:val="24"/>
        </w:rPr>
      </w:pPr>
      <w:r w:rsidRPr="002B4676">
        <w:rPr>
          <w:rFonts w:eastAsia="Calibri" w:cs="Calibri"/>
          <w:sz w:val="24"/>
          <w:szCs w:val="24"/>
        </w:rPr>
        <w:t xml:space="preserve">New Zealand has been experiencing strong inward migration. </w:t>
      </w:r>
      <w:r>
        <w:rPr>
          <w:rFonts w:eastAsia="Calibri" w:cs="Calibri"/>
          <w:sz w:val="24"/>
          <w:szCs w:val="24"/>
        </w:rPr>
        <w:t xml:space="preserve">Our population grew by nearly 20,000 people this quarter. </w:t>
      </w:r>
      <w:r w:rsidRPr="002B4676">
        <w:rPr>
          <w:rFonts w:eastAsia="Calibri" w:cs="Calibri"/>
          <w:sz w:val="24"/>
          <w:szCs w:val="24"/>
        </w:rPr>
        <w:t>When we compare</w:t>
      </w:r>
      <w:r>
        <w:rPr>
          <w:rFonts w:eastAsia="Calibri" w:cs="Calibri"/>
          <w:sz w:val="24"/>
          <w:szCs w:val="24"/>
        </w:rPr>
        <w:t xml:space="preserve"> the rate of</w:t>
      </w:r>
      <w:r w:rsidRPr="002B4676">
        <w:rPr>
          <w:rFonts w:eastAsia="Calibri" w:cs="Calibri"/>
          <w:sz w:val="24"/>
          <w:szCs w:val="24"/>
        </w:rPr>
        <w:t xml:space="preserve"> population growth to GDP growth, GDP per capita was up 0.5</w:t>
      </w:r>
      <w:r>
        <w:rPr>
          <w:rFonts w:eastAsia="Calibri" w:cs="Calibri"/>
          <w:sz w:val="24"/>
          <w:szCs w:val="24"/>
        </w:rPr>
        <w:t xml:space="preserve"> percent. </w:t>
      </w:r>
    </w:p>
    <w:p w14:paraId="6806DC34" w14:textId="59E334A0" w:rsidR="008B4DAA" w:rsidRDefault="008B4DAA" w:rsidP="008B4DAA">
      <w:pPr>
        <w:rPr>
          <w:rFonts w:eastAsia="Calibri" w:cs="Calibri"/>
          <w:sz w:val="24"/>
          <w:szCs w:val="24"/>
        </w:rPr>
      </w:pPr>
      <w:r w:rsidRPr="008B4DAA">
        <w:rPr>
          <w:rFonts w:eastAsia="Calibri" w:cs="Calibri"/>
          <w:b/>
          <w:sz w:val="24"/>
          <w:szCs w:val="24"/>
        </w:rPr>
        <w:t>Visual</w:t>
      </w:r>
      <w:r>
        <w:rPr>
          <w:rFonts w:eastAsia="Calibri" w:cs="Calibri"/>
          <w:sz w:val="24"/>
          <w:szCs w:val="24"/>
        </w:rPr>
        <w:t xml:space="preserve">: City lights at night, overlaid with text ‘GDP per capita up 0.5 percent in the June 2018 quarter’. </w:t>
      </w:r>
      <w:r>
        <w:rPr>
          <w:rFonts w:eastAsia="Calibri" w:cs="Calibri"/>
          <w:sz w:val="24"/>
          <w:szCs w:val="24"/>
        </w:rPr>
        <w:br/>
      </w:r>
      <w:r w:rsidRPr="008B4DAA">
        <w:rPr>
          <w:rFonts w:eastAsia="Calibri" w:cs="Calibri"/>
          <w:b/>
          <w:sz w:val="24"/>
          <w:szCs w:val="24"/>
        </w:rPr>
        <w:t>Audio</w:t>
      </w:r>
      <w:r>
        <w:rPr>
          <w:rFonts w:eastAsia="Calibri" w:cs="Calibri"/>
          <w:sz w:val="24"/>
          <w:szCs w:val="24"/>
        </w:rPr>
        <w:t xml:space="preserve">: </w:t>
      </w:r>
      <w:r>
        <w:rPr>
          <w:rFonts w:eastAsia="Calibri" w:cs="Calibri"/>
          <w:sz w:val="24"/>
          <w:szCs w:val="24"/>
        </w:rPr>
        <w:t xml:space="preserve">When we look at this over the year, GDP per capita rose by </w:t>
      </w:r>
      <w:r w:rsidRPr="002B4676">
        <w:rPr>
          <w:rFonts w:eastAsia="Calibri" w:cs="Calibri"/>
          <w:sz w:val="24"/>
          <w:szCs w:val="24"/>
        </w:rPr>
        <w:t>0.7 percent</w:t>
      </w:r>
      <w:r>
        <w:rPr>
          <w:rFonts w:eastAsia="Calibri" w:cs="Calibri"/>
          <w:sz w:val="24"/>
          <w:szCs w:val="24"/>
        </w:rPr>
        <w:t xml:space="preserve">. </w:t>
      </w:r>
    </w:p>
    <w:p w14:paraId="6A3A9FA3" w14:textId="77777777" w:rsidR="008B4DAA" w:rsidRPr="002B4676" w:rsidRDefault="008B4DAA" w:rsidP="008B4DAA">
      <w:pPr>
        <w:rPr>
          <w:sz w:val="24"/>
          <w:szCs w:val="24"/>
        </w:rPr>
      </w:pPr>
      <w:r w:rsidRPr="008B4DAA">
        <w:rPr>
          <w:rFonts w:eastAsia="Calibri" w:cs="Calibri"/>
          <w:b/>
          <w:sz w:val="24"/>
          <w:szCs w:val="24"/>
        </w:rPr>
        <w:t>Visual</w:t>
      </w:r>
      <w:r>
        <w:rPr>
          <w:rFonts w:eastAsia="Calibri" w:cs="Calibri"/>
          <w:sz w:val="24"/>
          <w:szCs w:val="24"/>
        </w:rPr>
        <w:t>: Table with text: Size of the economy (GDP) $290 billion, Increases GDP, household spending, $165 billion, government $55billion, investment $70 billion, exports $80 billion. Decreases GDP, imports $80 billion.</w:t>
      </w:r>
    </w:p>
    <w:p w14:paraId="5BA879D8" w14:textId="77777777" w:rsidR="006C0EDD" w:rsidRDefault="006C0EDD" w:rsidP="00E73589">
      <w:bookmarkStart w:id="0" w:name="_GoBack"/>
      <w:bookmarkEnd w:id="0"/>
    </w:p>
    <w:p w14:paraId="353F365B" w14:textId="0D5EBBDD" w:rsidR="00251D82" w:rsidRDefault="00251D82" w:rsidP="00E73589">
      <w:r>
        <w:t xml:space="preserve">Stats NZ </w:t>
      </w:r>
      <w:proofErr w:type="spellStart"/>
      <w:r>
        <w:t>Tatauranga</w:t>
      </w:r>
      <w:proofErr w:type="spellEnd"/>
      <w:r>
        <w:t xml:space="preserve"> Aotearoa</w:t>
      </w:r>
    </w:p>
    <w:p w14:paraId="5A4BD4FD" w14:textId="77777777" w:rsidR="006C0EDD" w:rsidRDefault="006C0EDD" w:rsidP="00E73589"/>
    <w:p w14:paraId="49BC02B3" w14:textId="6BE17090" w:rsidR="00140920" w:rsidRDefault="00140920" w:rsidP="00140920">
      <w:pPr>
        <w:pStyle w:val="Copyrightinfoheadings"/>
      </w:pPr>
      <w:r>
        <w:rPr>
          <w:noProof/>
          <w:lang w:val="mi-NZ" w:eastAsia="mi-NZ"/>
        </w:rPr>
        <w:drawing>
          <wp:inline distT="0" distB="0" distL="0" distR="0" wp14:anchorId="0CACFF05" wp14:editId="63C02CB2">
            <wp:extent cx="727328" cy="254977"/>
            <wp:effectExtent l="19050" t="0" r="0" b="0"/>
            <wp:docPr id="2" name="Picture 2" descr="C:\Documents and Settings\jwright\Local Settings\Application Data\Lotus\Notes\Data\RSL_DocOne.wrk\W159295_CClogoPRINT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wright\Local Settings\Application Data\Lotus\Notes\Data\RSL_DocOne.wrk\W159295_CClogoPRINT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847" cy="255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DE7305">
        <w:t>Crown copyright ©</w:t>
      </w:r>
      <w:r w:rsidR="0061063B" w:rsidRPr="00DE7305">
        <w:t xml:space="preserve"> 2018</w:t>
      </w:r>
    </w:p>
    <w:p w14:paraId="4CC069F0" w14:textId="77777777" w:rsidR="00140920" w:rsidRPr="000449B5" w:rsidRDefault="00966D39" w:rsidP="00140920">
      <w:pPr>
        <w:pStyle w:val="Copyrightinfotext"/>
      </w:pPr>
      <w:hyperlink r:id="rId14">
        <w:r w:rsidR="00140920" w:rsidRPr="5B5907B0">
          <w:rPr>
            <w:rStyle w:val="Hyperlink"/>
            <w:color w:val="0000FF"/>
            <w:szCs w:val="20"/>
          </w:rPr>
          <w:t xml:space="preserve">See Copyright and terms of use </w:t>
        </w:r>
      </w:hyperlink>
      <w:r w:rsidR="00140920">
        <w:t>for our copyright, attribution, and liability statements.</w:t>
      </w:r>
    </w:p>
    <w:p w14:paraId="7F8238A2" w14:textId="1B459569" w:rsidR="000B2E2F" w:rsidRPr="00E73589" w:rsidRDefault="00D5385B" w:rsidP="00E73589">
      <w:r>
        <w:t>[End]</w:t>
      </w:r>
    </w:p>
    <w:sectPr w:rsidR="000B2E2F" w:rsidRPr="00E73589" w:rsidSect="00F81767">
      <w:footerReference w:type="default" r:id="rId15"/>
      <w:headerReference w:type="first" r:id="rId16"/>
      <w:footerReference w:type="first" r:id="rId17"/>
      <w:pgSz w:w="11906" w:h="16838"/>
      <w:pgMar w:top="2552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98C77" w14:textId="77777777" w:rsidR="005F49E6" w:rsidRDefault="005F49E6" w:rsidP="005E5FD9">
      <w:pPr>
        <w:spacing w:after="0" w:line="240" w:lineRule="auto"/>
      </w:pPr>
      <w:r>
        <w:separator/>
      </w:r>
    </w:p>
  </w:endnote>
  <w:endnote w:type="continuationSeparator" w:id="0">
    <w:p w14:paraId="29E6F790" w14:textId="77777777" w:rsidR="005F49E6" w:rsidRDefault="005F49E6" w:rsidP="005E5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18853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36F8CD" w14:textId="5068F353" w:rsidR="005F49E6" w:rsidRDefault="005F49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1F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DB498A" w14:textId="77777777" w:rsidR="005F49E6" w:rsidRDefault="005F49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86732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0A0122" w14:textId="27B09FCF" w:rsidR="00F81767" w:rsidRDefault="00F817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B8178F4" w14:textId="77777777" w:rsidR="00F81767" w:rsidRDefault="00F817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208F3" w14:textId="77777777" w:rsidR="005F49E6" w:rsidRDefault="005F49E6" w:rsidP="005E5FD9">
      <w:pPr>
        <w:spacing w:after="0" w:line="240" w:lineRule="auto"/>
      </w:pPr>
      <w:r>
        <w:separator/>
      </w:r>
    </w:p>
  </w:footnote>
  <w:footnote w:type="continuationSeparator" w:id="0">
    <w:p w14:paraId="5129266A" w14:textId="77777777" w:rsidR="005F49E6" w:rsidRDefault="005F49E6" w:rsidP="005E5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3FA8C" w14:textId="1D1E58DD" w:rsidR="00E73589" w:rsidRDefault="00E73589">
    <w:pPr>
      <w:pStyle w:val="Header"/>
    </w:pPr>
    <w:r w:rsidRPr="006E527C">
      <w:rPr>
        <w:noProof/>
        <w:lang w:val="mi-NZ" w:eastAsia="mi-NZ"/>
      </w:rPr>
      <w:drawing>
        <wp:anchor distT="0" distB="0" distL="114300" distR="114300" simplePos="0" relativeHeight="251659264" behindDoc="1" locked="0" layoutInCell="1" allowOverlap="1" wp14:anchorId="3043E8DB" wp14:editId="44007A8A">
          <wp:simplePos x="0" y="0"/>
          <wp:positionH relativeFrom="margin">
            <wp:posOffset>4121150</wp:posOffset>
          </wp:positionH>
          <wp:positionV relativeFrom="paragraph">
            <wp:posOffset>197485</wp:posOffset>
          </wp:positionV>
          <wp:extent cx="1899920" cy="695960"/>
          <wp:effectExtent l="0" t="0" r="5080" b="8890"/>
          <wp:wrapTight wrapText="bothSides">
            <wp:wrapPolygon edited="0">
              <wp:start x="0" y="0"/>
              <wp:lineTo x="0" y="21285"/>
              <wp:lineTo x="21441" y="21285"/>
              <wp:lineTo x="2144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atsNZ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9920" cy="695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E2F"/>
    <w:rsid w:val="00085E7B"/>
    <w:rsid w:val="000B2E2F"/>
    <w:rsid w:val="000C1F61"/>
    <w:rsid w:val="000E7556"/>
    <w:rsid w:val="001320A3"/>
    <w:rsid w:val="00140920"/>
    <w:rsid w:val="00190E3C"/>
    <w:rsid w:val="001B17E8"/>
    <w:rsid w:val="001E6D9D"/>
    <w:rsid w:val="00212D26"/>
    <w:rsid w:val="00251D82"/>
    <w:rsid w:val="002652FB"/>
    <w:rsid w:val="00271DE3"/>
    <w:rsid w:val="003F7B31"/>
    <w:rsid w:val="00401AA8"/>
    <w:rsid w:val="00422AD2"/>
    <w:rsid w:val="00474934"/>
    <w:rsid w:val="00477274"/>
    <w:rsid w:val="00513B43"/>
    <w:rsid w:val="00542323"/>
    <w:rsid w:val="0055226E"/>
    <w:rsid w:val="0059570B"/>
    <w:rsid w:val="005D3205"/>
    <w:rsid w:val="005E5FD9"/>
    <w:rsid w:val="005F49E6"/>
    <w:rsid w:val="005F5FB9"/>
    <w:rsid w:val="0061063B"/>
    <w:rsid w:val="006A1987"/>
    <w:rsid w:val="006C0EDD"/>
    <w:rsid w:val="006D51D0"/>
    <w:rsid w:val="00716724"/>
    <w:rsid w:val="00731053"/>
    <w:rsid w:val="00732467"/>
    <w:rsid w:val="007406E3"/>
    <w:rsid w:val="0079025E"/>
    <w:rsid w:val="007B1160"/>
    <w:rsid w:val="00823960"/>
    <w:rsid w:val="0083309A"/>
    <w:rsid w:val="00837581"/>
    <w:rsid w:val="008B4DAA"/>
    <w:rsid w:val="00966D39"/>
    <w:rsid w:val="009901D3"/>
    <w:rsid w:val="00A56B9D"/>
    <w:rsid w:val="00B44A6E"/>
    <w:rsid w:val="00BB15D0"/>
    <w:rsid w:val="00BB2B53"/>
    <w:rsid w:val="00C214D6"/>
    <w:rsid w:val="00CA4B87"/>
    <w:rsid w:val="00D5385B"/>
    <w:rsid w:val="00D752D8"/>
    <w:rsid w:val="00DD0595"/>
    <w:rsid w:val="00DE7305"/>
    <w:rsid w:val="00E32770"/>
    <w:rsid w:val="00E42155"/>
    <w:rsid w:val="00E541B2"/>
    <w:rsid w:val="00E73589"/>
    <w:rsid w:val="00ED3FA4"/>
    <w:rsid w:val="00F034C4"/>
    <w:rsid w:val="00F8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459B449"/>
  <w15:chartTrackingRefBased/>
  <w15:docId w15:val="{DCFE25E1-F3C9-4BFE-B917-722C0A307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7305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3589"/>
    <w:pPr>
      <w:keepNext/>
      <w:keepLines/>
      <w:spacing w:before="240" w:after="0"/>
      <w:outlineLvl w:val="0"/>
    </w:pPr>
    <w:rPr>
      <w:rFonts w:eastAsiaTheme="majorEastAsia" w:cstheme="majorBidi"/>
      <w:b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FD9"/>
  </w:style>
  <w:style w:type="paragraph" w:styleId="Footer">
    <w:name w:val="footer"/>
    <w:basedOn w:val="Normal"/>
    <w:link w:val="FooterChar"/>
    <w:uiPriority w:val="99"/>
    <w:unhideWhenUsed/>
    <w:rsid w:val="005E5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FD9"/>
  </w:style>
  <w:style w:type="paragraph" w:styleId="BalloonText">
    <w:name w:val="Balloon Text"/>
    <w:basedOn w:val="Normal"/>
    <w:link w:val="BalloonTextChar"/>
    <w:uiPriority w:val="99"/>
    <w:semiHidden/>
    <w:unhideWhenUsed/>
    <w:rsid w:val="00E42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15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12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2D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2D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D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2D26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73589"/>
    <w:rPr>
      <w:rFonts w:eastAsiaTheme="majorEastAsia" w:cstheme="majorBidi"/>
      <w:b/>
      <w:sz w:val="40"/>
      <w:szCs w:val="32"/>
    </w:rPr>
  </w:style>
  <w:style w:type="character" w:styleId="Hyperlink">
    <w:name w:val="Hyperlink"/>
    <w:basedOn w:val="DefaultParagraphFont"/>
    <w:uiPriority w:val="99"/>
    <w:unhideWhenUsed/>
    <w:rsid w:val="00DE7305"/>
    <w:rPr>
      <w:rFonts w:ascii="Calibri" w:hAnsi="Calibri"/>
      <w:color w:val="0563C1" w:themeColor="hyperlink"/>
      <w:u w:val="single"/>
    </w:rPr>
  </w:style>
  <w:style w:type="paragraph" w:customStyle="1" w:styleId="Copyrightinfoheadings">
    <w:name w:val="Copyright info headings"/>
    <w:basedOn w:val="Normal"/>
    <w:link w:val="CopyrightinfoheadingsChar"/>
    <w:qFormat/>
    <w:rsid w:val="00DE7305"/>
    <w:pPr>
      <w:spacing w:before="120" w:after="0" w:line="240" w:lineRule="auto"/>
    </w:pPr>
    <w:rPr>
      <w:rFonts w:cs="Times New Roman"/>
      <w:b/>
      <w:sz w:val="20"/>
      <w:szCs w:val="21"/>
    </w:rPr>
  </w:style>
  <w:style w:type="paragraph" w:customStyle="1" w:styleId="Copyrightinfotext">
    <w:name w:val="Copyright info text"/>
    <w:basedOn w:val="Copyrightinfoheadings"/>
    <w:qFormat/>
    <w:rsid w:val="00140920"/>
    <w:pPr>
      <w:spacing w:before="0" w:after="240"/>
    </w:pPr>
    <w:rPr>
      <w:b w:val="0"/>
    </w:rPr>
  </w:style>
  <w:style w:type="character" w:customStyle="1" w:styleId="CopyrightinfoheadingsChar">
    <w:name w:val="Copyright info headings Char"/>
    <w:basedOn w:val="DefaultParagraphFont"/>
    <w:link w:val="Copyrightinfoheadings"/>
    <w:rsid w:val="00DE7305"/>
    <w:rPr>
      <w:rFonts w:ascii="Calibri" w:hAnsi="Calibri" w:cs="Times New Roman"/>
      <w:b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creativecommons.org/licenses/by/4.0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tats.govt.nz/news/broad-based-growth-as-gdp-rises-1-percent-in-june-quarter?stage=Stage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tats.govt.nz/about_us/about-this-site/copyright-terms-of-use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 - publication</TermName>
          <TermId xmlns="http://schemas.microsoft.com/office/infopath/2007/PartnerControls">6a611ed9-f6c7-4716-8a29-67a5ddf93375</TermId>
        </TermInfo>
      </Terms>
    </C3TopicNote>
    <TaxKeywordTaxHTField xmlns="931debb3-2ef8-4f70-9e1c-e7f35321f1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GDP June 2018 quarter</TermName>
          <TermId xmlns="http://schemas.microsoft.com/office/infopath/2007/PartnerControls">2193be55-f140-49b1-b855-c6860e21f38d</TermId>
        </TermInfo>
      </Terms>
    </TaxKeywordTaxHTField>
    <TaxCatchAll xmlns="931debb3-2ef8-4f70-9e1c-e7f35321f1b8">
      <Value>6</Value>
      <Value>1342</Value>
      <Value>55</Value>
      <Value>2390</Value>
    </TaxCatchAll>
    <e8bac518797247d9a4e915b8746d6853 xmlns="931debb3-2ef8-4f70-9e1c-e7f35321f1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9da528ab-29c9-4a2f-b4e4-44a477024fa8</TermId>
        </TermInfo>
      </Terms>
    </e8bac518797247d9a4e915b8746d6853>
    <_dlc_DocId xmlns="931debb3-2ef8-4f70-9e1c-e7f35321f1b8">ENXFE5XUT2PX-1406382270-6197</_dlc_DocId>
    <_dlc_DocIdUrl xmlns="931debb3-2ef8-4f70-9e1c-e7f35321f1b8">
      <Url>https://stats.cohesion.net.nz/Sites/CR/CRPRS/PUB/_layouts/15/DocIdRedir.aspx?ID=ENXFE5XUT2PX-1406382270-6197</Url>
      <Description>ENXFE5XUT2PX-1406382270-6197</Description>
    </_dlc_DocIdUrl>
    <C3FinancialYearNote xmlns="01be4277-2979-4a68-876d-b92b25fceece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2017/2018</TermName>
          <TermId xmlns="http://schemas.microsoft.com/office/infopath/2007/PartnerControls">bb6ba468-f2ff-4bb1-8868-0bb6e4757626</TermId>
        </TermInfo>
      </Terms>
    </C3FinancialYearNote>
    <h46a36d1fcc44c9f84f65dc0772a3757 xmlns="931debb3-2ef8-4f70-9e1c-e7f35321f1b8">
      <Terms xmlns="http://schemas.microsoft.com/office/infopath/2007/PartnerControls"/>
    </h46a36d1fcc44c9f84f65dc0772a3757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496552013C0BA46BE88192D5C6EB20B00BC7B51C3C3DA487E91D1E0ED95F8C85C0080FDA9E14D99674AA31ACD0490C16258" ma:contentTypeVersion="4" ma:contentTypeDescription="Create a new Word Document" ma:contentTypeScope="" ma:versionID="2970d30dff85206f98447f1f21d26492">
  <xsd:schema xmlns:xsd="http://www.w3.org/2001/XMLSchema" xmlns:xs="http://www.w3.org/2001/XMLSchema" xmlns:p="http://schemas.microsoft.com/office/2006/metadata/properties" xmlns:ns3="01be4277-2979-4a68-876d-b92b25fceece" xmlns:ns4="931debb3-2ef8-4f70-9e1c-e7f35321f1b8" targetNamespace="http://schemas.microsoft.com/office/2006/metadata/properties" ma:root="true" ma:fieldsID="4eabcec7e1623dedf5ea86ac240267bf" ns3:_="" ns4:_="">
    <xsd:import namespace="01be4277-2979-4a68-876d-b92b25fceece"/>
    <xsd:import namespace="931debb3-2ef8-4f70-9e1c-e7f35321f1b8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4:e8bac518797247d9a4e915b8746d6853" minOccurs="0"/>
                <xsd:element ref="ns4:_dlc_DocId" minOccurs="0"/>
                <xsd:element ref="ns4:_dlc_DocIdUrl" minOccurs="0"/>
                <xsd:element ref="ns4:_dlc_DocIdPersistId" minOccurs="0"/>
                <xsd:element ref="ns4:h46a36d1fcc44c9f84f65dc0772a3757" minOccurs="0"/>
                <xsd:element ref="ns3:C3FinancialYearN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indexed="true" ma:readOnly="false" ma:default="" ma:fieldId="{6a3fe89f-a6dd-4490-a9c1-3ef38d67b8c7}" ma:sspId="8fe43dc7-c10d-4d01-9ab4-5c6baa0ab136" ma:termSetId="c450faab-c86a-470d-88e7-583e23d5422f" ma:anchorId="2f2d8efb-c718-4b07-86af-812eff2e75ba" ma:open="false" ma:isKeyword="false">
      <xsd:complexType>
        <xsd:sequence>
          <xsd:element ref="pc:Terms" minOccurs="0" maxOccurs="1"/>
        </xsd:sequence>
      </xsd:complexType>
    </xsd:element>
    <xsd:element name="C3FinancialYearNote" ma:index="21" nillable="true" ma:taxonomy="true" ma:internalName="C3FinancialYearNote" ma:taxonomyFieldName="C3FinancialYear" ma:displayName="Financial Year" ma:readOnly="false" ma:fieldId="{576f231a-00e6-4d2f-a497-c942067ed5b8}" ma:sspId="8fe43dc7-c10d-4d01-9ab4-5c6baa0ab136" ma:termSetId="09af70a6-6b18-4bf7-9ce7-8fd70e09aad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debb3-2ef8-4f70-9e1c-e7f35321f1b8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8fe43dc7-c10d-4d01-9ab4-5c6baa0ab13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a0585c08-b172-4358-af99-8b1a862f5988}" ma:internalName="TaxCatchAll" ma:showField="CatchAllData" ma:web="931debb3-2ef8-4f70-9e1c-e7f35321f1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a0585c08-b172-4358-af99-8b1a862f5988}" ma:internalName="TaxCatchAllLabel" ma:readOnly="true" ma:showField="CatchAllDataLabel" ma:web="931debb3-2ef8-4f70-9e1c-e7f35321f1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8bac518797247d9a4e915b8746d6853" ma:index="14" ma:taxonomy="true" ma:internalName="e8bac518797247d9a4e915b8746d6853" ma:taxonomyFieldName="StatsNZSecurityClassification" ma:displayName="Security Classification" ma:default="2;#*Not Yet Classified|dc4a455f-4522-47f7-a9c8-9e8315f049e0" ma:fieldId="{e8bac518-7972-47d9-a4e9-15b8746d6853}" ma:sspId="8fe43dc7-c10d-4d01-9ab4-5c6baa0ab136" ma:termSetId="3c06f7c1-3f61-428e-9da0-fa6fb9cb66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46a36d1fcc44c9f84f65dc0772a3757" ma:index="19" nillable="true" ma:taxonomy="true" ma:internalName="h46a36d1fcc44c9f84f65dc0772a3757" ma:taxonomyFieldName="StatsNZOutputName" ma:displayName="Output Name" ma:fieldId="{146a36d1-fcc4-4c9f-84f6-5dc0772a3757}" ma:sspId="8fe43dc7-c10d-4d01-9ab4-5c6baa0ab136" ma:termSetId="42a8257c-ad7c-4564-b899-9010798345b3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57A48-B54B-46F8-BD68-67B2314036E3}"/>
</file>

<file path=customXml/itemProps2.xml><?xml version="1.0" encoding="utf-8"?>
<ds:datastoreItem xmlns:ds="http://schemas.openxmlformats.org/officeDocument/2006/customXml" ds:itemID="{41CAC2BB-30B9-4DA1-A0C3-7C456FC5DE38}"/>
</file>

<file path=customXml/itemProps3.xml><?xml version="1.0" encoding="utf-8"?>
<ds:datastoreItem xmlns:ds="http://schemas.openxmlformats.org/officeDocument/2006/customXml" ds:itemID="{D5EE2BC5-32EC-4CF2-80D5-EB83689023BB}"/>
</file>

<file path=customXml/itemProps4.xml><?xml version="1.0" encoding="utf-8"?>
<ds:datastoreItem xmlns:ds="http://schemas.openxmlformats.org/officeDocument/2006/customXml" ds:itemID="{04ABAE31-B377-4CE7-8021-6DABE74DE3BA}"/>
</file>

<file path=customXml/itemProps5.xml><?xml version="1.0" encoding="utf-8"?>
<ds:datastoreItem xmlns:ds="http://schemas.openxmlformats.org/officeDocument/2006/customXml" ds:itemID="{BBECD434-660F-4BD0-9396-6BA84DDB96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Video transcript of Gross domestic product June 2018 quarter</vt:lpstr>
    </vt:vector>
  </TitlesOfParts>
  <Company>Stats NZ</Company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Video transcript of Gross domestic product June 2018 quarter</dc:title>
  <dc:subject/>
  <dc:creator>Stats NZ</dc:creator>
  <cp:keywords>GDP June 2018 quarter</cp:keywords>
  <dc:description/>
  <cp:lastModifiedBy>CV</cp:lastModifiedBy>
  <cp:revision>3</cp:revision>
  <cp:lastPrinted>2017-09-12T04:01:00Z</cp:lastPrinted>
  <dcterms:created xsi:type="dcterms:W3CDTF">2018-09-19T20:15:00Z</dcterms:created>
  <dcterms:modified xsi:type="dcterms:W3CDTF">2018-09-19T20:16:00Z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0x0101005496552013C0BA46BE88192D5C6EB20B00BC7B51C3C3DA487E91D1E0ED95F8C85C0080FDA9E14D99674AA31ACD0490C16258</vt:lpwstr>
  </property>
  <property fmtid="{D5CDD505-2E9C-101B-9397-08002B2CF9AE}" pid="3" name="TaxKeyword">
    <vt:lpwstr>2390;#GDP June 2018 quarter|2193be55-f140-49b1-b855-c6860e21f38d</vt:lpwstr>
  </property>
  <property fmtid="{D5CDD505-2E9C-101B-9397-08002B2CF9AE}" pid="4" name="StatsNZSecurityClassification">
    <vt:lpwstr>6;#Unclassified|9da528ab-29c9-4a2f-b4e4-44a477024fa8</vt:lpwstr>
  </property>
  <property fmtid="{D5CDD505-2E9C-101B-9397-08002B2CF9AE}" pid="5" name="C3Topic">
    <vt:lpwstr>1342;#Template - publication|6a611ed9-f6c7-4716-8a29-67a5ddf93375</vt:lpwstr>
  </property>
  <property fmtid="{D5CDD505-2E9C-101B-9397-08002B2CF9AE}" pid="6" name="_dlc_DocIdItemGuid">
    <vt:lpwstr>609511c7-be1e-4d35-bceb-6467ce3fe8a3</vt:lpwstr>
  </property>
  <property fmtid="{D5CDD505-2E9C-101B-9397-08002B2CF9AE}" pid="7" name="StatsNZOutputName">
    <vt:lpwstr/>
  </property>
  <property fmtid="{D5CDD505-2E9C-101B-9397-08002B2CF9AE}" pid="8" name="C3FinancialYear">
    <vt:lpwstr>55;#2017/2018|bb6ba468-f2ff-4bb1-8868-0bb6e4757626</vt:lpwstr>
  </property>
</Properties>
</file>